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0C" w:rsidRDefault="00121F4B">
      <w:pPr>
        <w:pStyle w:val="Standard"/>
        <w:jc w:val="center"/>
        <w:rPr>
          <w:rFonts w:ascii="標楷體" w:eastAsia="標楷體" w:hAnsi="標楷體"/>
          <w:sz w:val="40"/>
          <w:szCs w:val="40"/>
        </w:rPr>
      </w:pPr>
      <w:r>
        <w:rPr>
          <w:rFonts w:ascii="標楷體" w:eastAsia="標楷體" w:hAnsi="標楷體"/>
          <w:sz w:val="40"/>
          <w:szCs w:val="40"/>
        </w:rPr>
        <w:t>性別平等教育法施行細則修正條文</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本細則依性別平等教育法（以下簡稱本法）第四十七條規定訂定之。</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本法</w:t>
      </w:r>
      <w:bookmarkStart w:id="0" w:name="_GoBack"/>
      <w:bookmarkEnd w:id="0"/>
      <w:r>
        <w:rPr>
          <w:rFonts w:ascii="標楷體" w:eastAsia="標楷體" w:hAnsi="標楷體"/>
          <w:sz w:val="28"/>
          <w:szCs w:val="28"/>
        </w:rPr>
        <w:t>第一條第一項及第三條第一款所稱性別地位之實質平等，指任何人不因其生理性別、性傾向、性別特質或性別認同等不同，而受到差別之待遇。</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本法第三條第三款所定性騷擾或性霸凌之認定，應就個案審酌事件發生之背景、工作環境、當事人之關係、行為人之言詞、行為及相對人之認知等具體事實為之。</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性別平等教育委員會依本法第四條第一款、第五條第一項第一款及第六條第一款規定研擬實施計畫時，其內容應包括下列事項：</w:t>
      </w:r>
    </w:p>
    <w:p w:rsidR="00A7260C" w:rsidRDefault="00121F4B">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一、目標：評估前一年實施成效，擬定年度主題並確定未來發展方向。</w:t>
      </w:r>
    </w:p>
    <w:p w:rsidR="00A7260C" w:rsidRDefault="00121F4B">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二、策略：內部各單位計畫或事務之統整，與相關機關（構）之合作聯繫及資源整合。</w:t>
      </w:r>
    </w:p>
    <w:p w:rsidR="00A7260C" w:rsidRDefault="00121F4B">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三、項目：明列年度具體工作項目。</w:t>
      </w:r>
    </w:p>
    <w:p w:rsidR="00A7260C" w:rsidRDefault="00121F4B">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四、資源：研擬經費及人力需求。</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性別平等教育委員會</w:t>
      </w:r>
      <w:r>
        <w:rPr>
          <w:rFonts w:ascii="標楷體" w:eastAsia="標楷體" w:hAnsi="標楷體"/>
          <w:sz w:val="28"/>
          <w:szCs w:val="28"/>
        </w:rPr>
        <w:t>依本法第四條第三款與第五條第一項第三款及主管機關依本法第十一條規定進行督導考核時，得以統合視導方式為之，並得邀請性別平等教育相關專家學者及民間團體代表參加。</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督導考核應定期為之，於半年前公告考核基準及細目，其結果並應作為統合視導評比及校務評鑑之參據。</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第五條</w:t>
      </w:r>
      <w:r>
        <w:rPr>
          <w:rFonts w:ascii="標楷體" w:eastAsia="標楷體" w:hAnsi="標楷體"/>
          <w:sz w:val="28"/>
          <w:szCs w:val="28"/>
        </w:rPr>
        <w:t xml:space="preserve">    </w:t>
      </w:r>
      <w:r>
        <w:rPr>
          <w:rFonts w:ascii="標楷體" w:eastAsia="標楷體" w:hAnsi="標楷體"/>
          <w:sz w:val="28"/>
          <w:szCs w:val="28"/>
        </w:rPr>
        <w:t>本法第四條第四款、第五條第一項第四款及第六條第三款所定課程、教學、評量之研究發展，其內容包括下列事項：</w:t>
      </w:r>
    </w:p>
    <w:p w:rsidR="00A7260C" w:rsidRDefault="00121F4B">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一、課程部分：</w:t>
      </w:r>
    </w:p>
    <w:p w:rsidR="00A7260C" w:rsidRDefault="00121F4B">
      <w:pPr>
        <w:pStyle w:val="a5"/>
        <w:numPr>
          <w:ilvl w:val="0"/>
          <w:numId w:val="12"/>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本法第十六條之教職員工之職前教育、新進人員培訓、在職進修及教育行政主管人員之儲訓課程。</w:t>
      </w:r>
    </w:p>
    <w:p w:rsidR="00A7260C" w:rsidRDefault="00121F4B">
      <w:pPr>
        <w:pStyle w:val="a5"/>
        <w:numPr>
          <w:ilvl w:val="0"/>
          <w:numId w:val="8"/>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學生依第十八條第一項所受之課程及活動。</w:t>
      </w:r>
    </w:p>
    <w:p w:rsidR="00A7260C" w:rsidRDefault="00121F4B">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二、教學部分：</w:t>
      </w:r>
    </w:p>
    <w:p w:rsidR="00A7260C" w:rsidRDefault="00121F4B">
      <w:pPr>
        <w:pStyle w:val="a5"/>
        <w:numPr>
          <w:ilvl w:val="0"/>
          <w:numId w:val="13"/>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創新及開發性別平等教育相關之教學法。</w:t>
      </w:r>
    </w:p>
    <w:p w:rsidR="00A7260C" w:rsidRDefault="00121F4B">
      <w:pPr>
        <w:pStyle w:val="a5"/>
        <w:numPr>
          <w:ilvl w:val="0"/>
          <w:numId w:val="10"/>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提升教師運用性別平等教育相關教學法之能力。</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lastRenderedPageBreak/>
        <w:t>三、評量部分：</w:t>
      </w:r>
    </w:p>
    <w:p w:rsidR="00A7260C" w:rsidRDefault="00121F4B">
      <w:pPr>
        <w:pStyle w:val="a5"/>
        <w:numPr>
          <w:ilvl w:val="0"/>
          <w:numId w:val="14"/>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性別平等之認知、情意及實踐。</w:t>
      </w:r>
    </w:p>
    <w:p w:rsidR="00A7260C" w:rsidRDefault="00121F4B">
      <w:pPr>
        <w:pStyle w:val="a5"/>
        <w:numPr>
          <w:ilvl w:val="0"/>
          <w:numId w:val="11"/>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觀察、實作、表演、口試、筆試、作業、學習歷程檔案、研究報告等多元適性評量方式。</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第六條</w:t>
      </w:r>
      <w:r>
        <w:rPr>
          <w:rFonts w:ascii="標楷體" w:eastAsia="標楷體" w:hAnsi="標楷體"/>
          <w:sz w:val="28"/>
          <w:szCs w:val="28"/>
        </w:rPr>
        <w:t xml:space="preserve">    </w:t>
      </w:r>
      <w:r>
        <w:rPr>
          <w:rFonts w:ascii="標楷體" w:eastAsia="標楷體" w:hAnsi="標楷體"/>
          <w:sz w:val="28"/>
          <w:szCs w:val="28"/>
        </w:rPr>
        <w:t>本法第四條第六款及第五條第一項第五款所定諮詢服務事項如下：</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一、協助提供性別平等教育相關書籍、期刊、論文、人才檔案、學術及民間團體等資料。</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二、協助其他性別平等教育委員會之組成及運作。</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三、協助成立性別平等教育相關研究及教學單位。</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四、提供其他有關落實本法之諮詢服務。</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本法第七條第一項、第八條第一項、第三項及第九條第一項所稱性別平等教育相關領域，指從事性別、性教育、多元文化議題等有關之研究、教學或實務工作。</w:t>
      </w:r>
    </w:p>
    <w:p w:rsidR="00A7260C" w:rsidRDefault="00121F4B">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本法第七條第一項、第八條第一項、第三項、第九條第一項、第二十條第一項及第三十三條第三項所稱性別平等意識，指個人認同性別平等之價值，瞭解性別不平等之現象及其成因，並具有協助改善現況之意願。</w:t>
      </w:r>
    </w:p>
    <w:p w:rsidR="00A7260C" w:rsidRDefault="00121F4B">
      <w:pPr>
        <w:pStyle w:val="Standard"/>
        <w:tabs>
          <w:tab w:val="left" w:pos="2366"/>
        </w:tabs>
        <w:spacing w:line="400" w:lineRule="exact"/>
        <w:ind w:left="840" w:hanging="840"/>
        <w:rPr>
          <w:rFonts w:ascii="標楷體" w:eastAsia="標楷體" w:hAnsi="標楷體"/>
          <w:sz w:val="28"/>
          <w:szCs w:val="28"/>
        </w:rPr>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學校依本法第十二條第一項規定建立安全之校園空間時，應就下列事項，考量其無性別偏見、安全、友善及公平分配</w:t>
      </w:r>
      <w:r>
        <w:rPr>
          <w:rFonts w:ascii="標楷體" w:eastAsia="標楷體" w:hAnsi="標楷體"/>
          <w:sz w:val="28"/>
          <w:szCs w:val="28"/>
        </w:rPr>
        <w:t>等原則：</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一、空間配置。</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二、管理及保全。</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三、標示系統、求救系統及安全路線。</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四、盥洗設施及運動設施。</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五、照明及空間視覺穿透性。</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六、其他相關事項。</w:t>
      </w:r>
    </w:p>
    <w:p w:rsidR="00A7260C" w:rsidRDefault="00121F4B">
      <w:pPr>
        <w:pStyle w:val="Standard"/>
        <w:spacing w:line="400" w:lineRule="exact"/>
        <w:ind w:left="848" w:hanging="848"/>
        <w:rPr>
          <w:rFonts w:ascii="標楷體" w:eastAsia="標楷體" w:hAnsi="標楷體"/>
          <w:sz w:val="28"/>
          <w:szCs w:val="28"/>
        </w:rPr>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本法第十二條第二項及第二十一條第二項所定公告方式，除應張貼於學校公告欄外，並得以書面、口頭、網際網路或其他適當方式為之。</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本法第十五條所定必要之協助，應包括善用校內外資源，提供懷孕或生產學生之適性教育，並採彈性措施，協助其完成學業及提供相關輔導。</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本法第十七條所稱學校之考績委員會，指為辦理學校教職員工成績考核而組成之委員會。但公立學校，指以教師為考核範圍之委員會為限。</w:t>
      </w:r>
    </w:p>
    <w:p w:rsidR="00A7260C" w:rsidRDefault="00121F4B">
      <w:pPr>
        <w:pStyle w:val="Standard"/>
        <w:spacing w:line="400" w:lineRule="exact"/>
        <w:ind w:left="1134" w:hanging="1134"/>
      </w:pPr>
      <w:r>
        <w:rPr>
          <w:rFonts w:ascii="標楷體" w:eastAsia="標楷體" w:hAnsi="標楷體"/>
          <w:sz w:val="28"/>
          <w:szCs w:val="28"/>
        </w:rPr>
        <w:t xml:space="preserve">            </w:t>
      </w:r>
      <w:r>
        <w:rPr>
          <w:rFonts w:ascii="標楷體" w:eastAsia="標楷體" w:hAnsi="標楷體"/>
          <w:sz w:val="28"/>
          <w:szCs w:val="28"/>
        </w:rPr>
        <w:t>本法第十七條所稱學校之教師評審委員會，指校級之委員會。</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法第十八條第二項所定性別平等教育相關課程，應涵蓋情感教育、性教育、認識及尊重不同性別、性別特徵、性別特質、性別認同、性傾向教育，及性侵害、性騷擾、性霸凌防治教育等課程，以提升學生之性別平等意識。</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為執行本法第十九條規定，高級中等以下學校教材之編寫、審查及選用，應由有性別平等</w:t>
      </w:r>
      <w:r>
        <w:rPr>
          <w:rFonts w:ascii="標楷體" w:eastAsia="標楷體" w:hAnsi="標楷體"/>
          <w:sz w:val="28"/>
          <w:szCs w:val="28"/>
        </w:rPr>
        <w:t>意識之教師參與；教材內容並應破除性別刻板印象，避免性別偏見及性別歧視，呈現性別平等及多元之價值。</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教師為執行本法第二十條第二項鼓勵學生修習非傳統性別之學科領域，應於輔導學生修習課程、選擇科系或探索生涯發展時，鼓勵學生適性多元發展，避免將特定學科性別化。</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本法第三十四條第二項所稱雙方當事人之權力差距，指當事人雙方間存在之地位、知識、年齡、體力、身分、族群或資源之不對等狀況。</w:t>
      </w:r>
    </w:p>
    <w:p w:rsidR="00A7260C" w:rsidRDefault="00121F4B">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性別平等教育委員會依本法第三十六條第二項規定提出報告，其內容應包括下列事項：</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一、申請調查事件之案由，包括當事人或檢舉之敘述。</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二、調查訪談過程紀錄，包括日期及對象。</w:t>
      </w:r>
    </w:p>
    <w:p w:rsidR="00A7260C" w:rsidRDefault="00121F4B">
      <w:pPr>
        <w:pStyle w:val="Standard"/>
        <w:tabs>
          <w:tab w:val="left" w:pos="2798"/>
          <w:tab w:val="left" w:pos="2940"/>
        </w:tabs>
        <w:spacing w:line="380" w:lineRule="exact"/>
        <w:ind w:left="1664" w:hanging="81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三、被申請調查人、申請調查人、證人與相關人士之陳述及答辯。</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四、相關物證之查驗。</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五、事實認定及理由。</w:t>
      </w:r>
    </w:p>
    <w:p w:rsidR="00A7260C" w:rsidRDefault="00121F4B">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六、處理建議。</w:t>
      </w:r>
    </w:p>
    <w:p w:rsidR="00A7260C" w:rsidRDefault="00121F4B">
      <w:pPr>
        <w:pStyle w:val="Standard"/>
        <w:spacing w:line="400" w:lineRule="exact"/>
        <w:ind w:left="1134" w:hanging="1134"/>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本細則除第七條、第八條及第十條自中華民國一百十三年三月八日施行外，自發布日施行。</w:t>
      </w:r>
    </w:p>
    <w:sectPr w:rsidR="00A7260C">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4B" w:rsidRDefault="00121F4B">
      <w:r>
        <w:separator/>
      </w:r>
    </w:p>
  </w:endnote>
  <w:endnote w:type="continuationSeparator" w:id="0">
    <w:p w:rsidR="00121F4B" w:rsidRDefault="0012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4B" w:rsidRDefault="00121F4B">
      <w:r>
        <w:rPr>
          <w:color w:val="000000"/>
        </w:rPr>
        <w:separator/>
      </w:r>
    </w:p>
  </w:footnote>
  <w:footnote w:type="continuationSeparator" w:id="0">
    <w:p w:rsidR="00121F4B" w:rsidRDefault="00121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5B6"/>
    <w:multiLevelType w:val="multilevel"/>
    <w:tmpl w:val="FAC61050"/>
    <w:styleLink w:val="WWNum2"/>
    <w:lvl w:ilvl="0">
      <w:start w:val="1"/>
      <w:numFmt w:val="japaneseCounting"/>
      <w:lvlText w:val="%1、"/>
      <w:lvlJc w:val="left"/>
      <w:pPr>
        <w:ind w:left="745" w:hanging="510"/>
      </w:pPr>
    </w:lvl>
    <w:lvl w:ilvl="1">
      <w:start w:val="1"/>
      <w:numFmt w:val="ideographTraditional"/>
      <w:lvlText w:val="%1.%2、"/>
      <w:lvlJc w:val="left"/>
      <w:pPr>
        <w:ind w:left="1195" w:hanging="480"/>
      </w:pPr>
    </w:lvl>
    <w:lvl w:ilvl="2">
      <w:start w:val="1"/>
      <w:numFmt w:val="lowerRoman"/>
      <w:lvlText w:val="%1.%2.%3."/>
      <w:lvlJc w:val="right"/>
      <w:pPr>
        <w:ind w:left="1675" w:hanging="480"/>
      </w:pPr>
    </w:lvl>
    <w:lvl w:ilvl="3">
      <w:start w:val="1"/>
      <w:numFmt w:val="decimal"/>
      <w:lvlText w:val="%1.%2.%3.%4."/>
      <w:lvlJc w:val="left"/>
      <w:pPr>
        <w:ind w:left="2155" w:hanging="480"/>
      </w:pPr>
    </w:lvl>
    <w:lvl w:ilvl="4">
      <w:start w:val="1"/>
      <w:numFmt w:val="ideographTraditional"/>
      <w:lvlText w:val="%1.%2.%3.%4.%5、"/>
      <w:lvlJc w:val="left"/>
      <w:pPr>
        <w:ind w:left="2635" w:hanging="480"/>
      </w:pPr>
    </w:lvl>
    <w:lvl w:ilvl="5">
      <w:start w:val="1"/>
      <w:numFmt w:val="lowerRoman"/>
      <w:lvlText w:val="%1.%2.%3.%4.%5.%6."/>
      <w:lvlJc w:val="right"/>
      <w:pPr>
        <w:ind w:left="3115" w:hanging="480"/>
      </w:pPr>
    </w:lvl>
    <w:lvl w:ilvl="6">
      <w:start w:val="1"/>
      <w:numFmt w:val="decimal"/>
      <w:lvlText w:val="%1.%2.%3.%4.%5.%6.%7."/>
      <w:lvlJc w:val="left"/>
      <w:pPr>
        <w:ind w:left="3595" w:hanging="480"/>
      </w:pPr>
    </w:lvl>
    <w:lvl w:ilvl="7">
      <w:start w:val="1"/>
      <w:numFmt w:val="ideographTraditional"/>
      <w:lvlText w:val="%1.%2.%3.%4.%5.%6.%7.%8、"/>
      <w:lvlJc w:val="left"/>
      <w:pPr>
        <w:ind w:left="4075" w:hanging="480"/>
      </w:pPr>
    </w:lvl>
    <w:lvl w:ilvl="8">
      <w:start w:val="1"/>
      <w:numFmt w:val="lowerRoman"/>
      <w:lvlText w:val="%1.%2.%3.%4.%5.%6.%7.%8.%9."/>
      <w:lvlJc w:val="right"/>
      <w:pPr>
        <w:ind w:left="4555" w:hanging="480"/>
      </w:pPr>
    </w:lvl>
  </w:abstractNum>
  <w:abstractNum w:abstractNumId="1" w15:restartNumberingAfterBreak="0">
    <w:nsid w:val="14C04342"/>
    <w:multiLevelType w:val="multilevel"/>
    <w:tmpl w:val="E828E062"/>
    <w:styleLink w:val="WWNum3"/>
    <w:lvl w:ilvl="0">
      <w:start w:val="5"/>
      <w:numFmt w:val="japaneseCounting"/>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 w15:restartNumberingAfterBreak="0">
    <w:nsid w:val="18F35F14"/>
    <w:multiLevelType w:val="multilevel"/>
    <w:tmpl w:val="75301DF0"/>
    <w:styleLink w:val="WWNum6"/>
    <w:lvl w:ilvl="0">
      <w:start w:val="4"/>
      <w:numFmt w:val="japaneseCounting"/>
      <w:lvlText w:val="%1、"/>
      <w:lvlJc w:val="left"/>
      <w:pPr>
        <w:ind w:left="1907" w:hanging="720"/>
      </w:pPr>
    </w:lvl>
    <w:lvl w:ilvl="1">
      <w:start w:val="1"/>
      <w:numFmt w:val="ideographTraditional"/>
      <w:lvlText w:val="%1.%2、"/>
      <w:lvlJc w:val="left"/>
      <w:pPr>
        <w:ind w:left="2147" w:hanging="480"/>
      </w:pPr>
    </w:lvl>
    <w:lvl w:ilvl="2">
      <w:start w:val="1"/>
      <w:numFmt w:val="lowerRoman"/>
      <w:lvlText w:val="%1.%2.%3."/>
      <w:lvlJc w:val="right"/>
      <w:pPr>
        <w:ind w:left="2627" w:hanging="480"/>
      </w:pPr>
    </w:lvl>
    <w:lvl w:ilvl="3">
      <w:start w:val="1"/>
      <w:numFmt w:val="decimal"/>
      <w:lvlText w:val="%1.%2.%3.%4."/>
      <w:lvlJc w:val="left"/>
      <w:pPr>
        <w:ind w:left="3107" w:hanging="480"/>
      </w:pPr>
    </w:lvl>
    <w:lvl w:ilvl="4">
      <w:start w:val="1"/>
      <w:numFmt w:val="ideographTraditional"/>
      <w:lvlText w:val="%1.%2.%3.%4.%5、"/>
      <w:lvlJc w:val="left"/>
      <w:pPr>
        <w:ind w:left="3587" w:hanging="480"/>
      </w:pPr>
    </w:lvl>
    <w:lvl w:ilvl="5">
      <w:start w:val="1"/>
      <w:numFmt w:val="lowerRoman"/>
      <w:lvlText w:val="%1.%2.%3.%4.%5.%6."/>
      <w:lvlJc w:val="right"/>
      <w:pPr>
        <w:ind w:left="4067" w:hanging="480"/>
      </w:pPr>
    </w:lvl>
    <w:lvl w:ilvl="6">
      <w:start w:val="1"/>
      <w:numFmt w:val="decimal"/>
      <w:lvlText w:val="%1.%2.%3.%4.%5.%6.%7."/>
      <w:lvlJc w:val="left"/>
      <w:pPr>
        <w:ind w:left="4547" w:hanging="480"/>
      </w:pPr>
    </w:lvl>
    <w:lvl w:ilvl="7">
      <w:start w:val="1"/>
      <w:numFmt w:val="ideographTraditional"/>
      <w:lvlText w:val="%1.%2.%3.%4.%5.%6.%7.%8、"/>
      <w:lvlJc w:val="left"/>
      <w:pPr>
        <w:ind w:left="5027" w:hanging="480"/>
      </w:pPr>
    </w:lvl>
    <w:lvl w:ilvl="8">
      <w:start w:val="1"/>
      <w:numFmt w:val="lowerRoman"/>
      <w:lvlText w:val="%1.%2.%3.%4.%5.%6.%7.%8.%9."/>
      <w:lvlJc w:val="right"/>
      <w:pPr>
        <w:ind w:left="5507" w:hanging="480"/>
      </w:pPr>
    </w:lvl>
  </w:abstractNum>
  <w:abstractNum w:abstractNumId="3" w15:restartNumberingAfterBreak="0">
    <w:nsid w:val="1D6E4178"/>
    <w:multiLevelType w:val="multilevel"/>
    <w:tmpl w:val="AAE47E62"/>
    <w:styleLink w:val="WWNum1"/>
    <w:lvl w:ilvl="0">
      <w:start w:val="1"/>
      <w:numFmt w:val="japaneseCounting"/>
      <w:lvlText w:val="第%1條"/>
      <w:lvlJc w:val="left"/>
      <w:pPr>
        <w:ind w:left="960" w:hanging="960"/>
      </w:pPr>
      <w:rPr>
        <w:rFonts w:ascii="標楷體" w:eastAsia="標楷體" w:hAnsi="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DAE6485"/>
    <w:multiLevelType w:val="multilevel"/>
    <w:tmpl w:val="0C7AF25E"/>
    <w:styleLink w:val="WWNum9"/>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5" w15:restartNumberingAfterBreak="0">
    <w:nsid w:val="369C4554"/>
    <w:multiLevelType w:val="multilevel"/>
    <w:tmpl w:val="CFB4BAAE"/>
    <w:styleLink w:val="WWNum5"/>
    <w:lvl w:ilvl="0">
      <w:start w:val="4"/>
      <w:numFmt w:val="japaneseCounting"/>
      <w:lvlText w:val="%1、"/>
      <w:lvlJc w:val="left"/>
      <w:pPr>
        <w:ind w:left="1711" w:hanging="72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6" w15:restartNumberingAfterBreak="0">
    <w:nsid w:val="4AA011A6"/>
    <w:multiLevelType w:val="multilevel"/>
    <w:tmpl w:val="90FA5110"/>
    <w:styleLink w:val="WWNum4"/>
    <w:lvl w:ilvl="0">
      <w:start w:val="6"/>
      <w:numFmt w:val="japaneseCounting"/>
      <w:lvlText w:val="%1、"/>
      <w:lvlJc w:val="left"/>
      <w:pPr>
        <w:ind w:left="1768" w:hanging="480"/>
      </w:pPr>
    </w:lvl>
    <w:lvl w:ilvl="1">
      <w:start w:val="1"/>
      <w:numFmt w:val="ideographTraditional"/>
      <w:lvlText w:val="%1.%2、"/>
      <w:lvlJc w:val="left"/>
      <w:pPr>
        <w:ind w:left="2248" w:hanging="480"/>
      </w:pPr>
    </w:lvl>
    <w:lvl w:ilvl="2">
      <w:start w:val="1"/>
      <w:numFmt w:val="lowerRoman"/>
      <w:lvlText w:val="%1.%2.%3."/>
      <w:lvlJc w:val="right"/>
      <w:pPr>
        <w:ind w:left="2728" w:hanging="480"/>
      </w:pPr>
    </w:lvl>
    <w:lvl w:ilvl="3">
      <w:start w:val="1"/>
      <w:numFmt w:val="decimal"/>
      <w:lvlText w:val="%1.%2.%3.%4."/>
      <w:lvlJc w:val="left"/>
      <w:pPr>
        <w:ind w:left="3208" w:hanging="480"/>
      </w:pPr>
    </w:lvl>
    <w:lvl w:ilvl="4">
      <w:start w:val="1"/>
      <w:numFmt w:val="ideographTraditional"/>
      <w:lvlText w:val="%1.%2.%3.%4.%5、"/>
      <w:lvlJc w:val="left"/>
      <w:pPr>
        <w:ind w:left="3688" w:hanging="480"/>
      </w:pPr>
    </w:lvl>
    <w:lvl w:ilvl="5">
      <w:start w:val="1"/>
      <w:numFmt w:val="lowerRoman"/>
      <w:lvlText w:val="%1.%2.%3.%4.%5.%6."/>
      <w:lvlJc w:val="right"/>
      <w:pPr>
        <w:ind w:left="4168" w:hanging="480"/>
      </w:pPr>
    </w:lvl>
    <w:lvl w:ilvl="6">
      <w:start w:val="1"/>
      <w:numFmt w:val="decimal"/>
      <w:lvlText w:val="%1.%2.%3.%4.%5.%6.%7."/>
      <w:lvlJc w:val="left"/>
      <w:pPr>
        <w:ind w:left="4648" w:hanging="480"/>
      </w:pPr>
    </w:lvl>
    <w:lvl w:ilvl="7">
      <w:start w:val="1"/>
      <w:numFmt w:val="ideographTraditional"/>
      <w:lvlText w:val="%1.%2.%3.%4.%5.%6.%7.%8、"/>
      <w:lvlJc w:val="left"/>
      <w:pPr>
        <w:ind w:left="5128" w:hanging="480"/>
      </w:pPr>
    </w:lvl>
    <w:lvl w:ilvl="8">
      <w:start w:val="1"/>
      <w:numFmt w:val="lowerRoman"/>
      <w:lvlText w:val="%1.%2.%3.%4.%5.%6.%7.%8.%9."/>
      <w:lvlJc w:val="right"/>
      <w:pPr>
        <w:ind w:left="5608" w:hanging="480"/>
      </w:pPr>
    </w:lvl>
  </w:abstractNum>
  <w:abstractNum w:abstractNumId="7" w15:restartNumberingAfterBreak="0">
    <w:nsid w:val="4CE707B4"/>
    <w:multiLevelType w:val="multilevel"/>
    <w:tmpl w:val="4FEECD42"/>
    <w:styleLink w:val="WWNum10"/>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8" w15:restartNumberingAfterBreak="0">
    <w:nsid w:val="517966CC"/>
    <w:multiLevelType w:val="multilevel"/>
    <w:tmpl w:val="D41E0104"/>
    <w:styleLink w:val="WWNum8"/>
    <w:lvl w:ilvl="0">
      <w:start w:val="1"/>
      <w:numFmt w:val="japaneseCounting"/>
      <w:lvlText w:val="（%1）"/>
      <w:lvlJc w:val="left"/>
      <w:pPr>
        <w:ind w:left="1870" w:hanging="72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9" w15:restartNumberingAfterBreak="0">
    <w:nsid w:val="61996D2D"/>
    <w:multiLevelType w:val="multilevel"/>
    <w:tmpl w:val="2DB26996"/>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0" w15:restartNumberingAfterBreak="0">
    <w:nsid w:val="760F5DDB"/>
    <w:multiLevelType w:val="multilevel"/>
    <w:tmpl w:val="C73A99BE"/>
    <w:styleLink w:val="WWNum7"/>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num w:numId="1">
    <w:abstractNumId w:val="9"/>
  </w:num>
  <w:num w:numId="2">
    <w:abstractNumId w:val="3"/>
  </w:num>
  <w:num w:numId="3">
    <w:abstractNumId w:val="0"/>
  </w:num>
  <w:num w:numId="4">
    <w:abstractNumId w:val="1"/>
  </w:num>
  <w:num w:numId="5">
    <w:abstractNumId w:val="6"/>
  </w:num>
  <w:num w:numId="6">
    <w:abstractNumId w:val="5"/>
  </w:num>
  <w:num w:numId="7">
    <w:abstractNumId w:val="2"/>
  </w:num>
  <w:num w:numId="8">
    <w:abstractNumId w:val="10"/>
  </w:num>
  <w:num w:numId="9">
    <w:abstractNumId w:val="8"/>
  </w:num>
  <w:num w:numId="10">
    <w:abstractNumId w:val="4"/>
  </w:num>
  <w:num w:numId="11">
    <w:abstractNumId w:val="7"/>
  </w:num>
  <w:num w:numId="12">
    <w:abstractNumId w:val="10"/>
    <w:lvlOverride w:ilvl="0">
      <w:startOverride w:val="1"/>
    </w:lvlOverride>
  </w:num>
  <w:num w:numId="13">
    <w:abstractNumId w:val="4"/>
    <w:lvlOverride w:ilvl="0">
      <w:startOverride w:val="1"/>
    </w:lvlOverride>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A7260C"/>
    <w:rsid w:val="00121F4B"/>
    <w:rsid w:val="00A349A2"/>
    <w:rsid w:val="00A726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CE45E-7D40-411F-894E-29E3744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標楷體" w:eastAsia="標楷體" w:hAnsi="標楷體" w:cs="標楷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陳珮萱</dc:creator>
  <cp:lastModifiedBy>User</cp:lastModifiedBy>
  <cp:revision>2</cp:revision>
  <dcterms:created xsi:type="dcterms:W3CDTF">2024-02-26T04:39:00Z</dcterms:created>
  <dcterms:modified xsi:type="dcterms:W3CDTF">2024-02-26T04:39:00Z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